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2e08dde90e7644d7"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122</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ASOCIAȚIA GRUPUL DE ACȚIUNE LOCALĂ VALEA MOSTIȘTEI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Sprijin pentru inițierea antreprenoriatului și a activităților generatoare de venit</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Solicitantul trebuie să se încadrezeîn categoria de beneficiari eligibilifemeieși/sau tânăr (între 18 și 30de ani)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conformitatea informațiilor menționate în Cererea definanțare cu informațiile din documentele prezentate, în funcție decategoria de beneficiari.Se verifică dacă informaţiile menţionate în Cererea de finanţarecorespund cu cele menţionate în documente: numelesolicitantului, şi/sau CIF/CUI.În cadrul intervenției sunt eligibili solicitanții femei și / sau tineri (între18 și 30 ani).Tinerii sunt persoanele cu vârsta între 18 și 30 ani inclusiv ( până celmult cu o zi înainte de a împlini 31 ani) la momentul depunerii cereriide finanțare.Solicitanții femei trebuie să aibă minim 18 ani.Documentul verificat este cartea de identitate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trebuie sa prezinte unPlan de Afaceri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daca Planul de Afaceri este prezentat si completat conformmodelului cadru din anexa la Ghidul Solicitantuluit.</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Proiectul trebuie să se încadreze încel puțin unul dintre tipurile deactivități sprijinite prin intervenție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în baza informațiilor din Cererea de Finanțare și PAdacă investiția se încadrează în cel puțin unul din tipurile de sprijinprevăzute prin interventie.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Solicitanții au sediul social și/saupunctul de lucru şi îşi desfăşoarăactivitatea pe teritoriul GAL ValeaMostiștei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în baza informațiilor din Cererea de Finanțare, Planul deAfaceri si documentele anexate daca investitia/activitatea sunt propuse interitoriul GAL.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Implementarea planului de afaceritrebuie să înceapă în cel mult 3 lunide la data deciziei de primirie asprijinului (încasare prima tranșă)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în baza informațiilor din Cererea de Finanțare si Planul deAfaceri daca solicitantul si-a asumat termenul de 3 luni pentru începereaimplementării PA</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w:t>
            </w:r>
          </w:p>
        </w:tc>
        <w:tc>
          <w:tcPr>
            <w:vAlign w:val="center"/>
          </w:tcPr>
          <w:p>
            <w:r>
              <w:rPr>
                <w:rFonts w:ascii="Cambria Bold" w:hAnsi="Cambria Bold"/>
                <w:b/>
                <w:color w:val="1B4167"/>
                <w:sz w:val="24"/>
              </w:rPr>
              <w:t>Codul CAEN pentru care solicităfinanţare este eligibil în cadrulapelului de proiecte?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daca activitatea pentru care solicita finantare se regaseste inAnexa 13 - Lista codurilor CAEN aferente activităților neagricole eligibilela finanțare în cadrul intervenției DR 36.</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Principiul promovării investițiilor care își propun în planul de afaceri activități de promovare a investițiilor</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r>
              <w:rPr>
                <w:rFonts w:ascii="Cambria" w:hAnsi="Cambria"/>
                <w:b w:val="false"/>
                <w:color w:val="58400C"/>
                <w:sz w:val="24"/>
              </w:rPr>
              <w:t>Proiecte care alocă un procent între 1% şi 3% pentru crearea unei imagini/branding/site pentru promovare (realizare marcă de serviciu/produs) din valoarea eligibilă a proiectului. </w:t>
            </w:r>
          </w:p>
        </w:tc>
        <w:tc>
          <w:tcPr>
            <w:vAlign w:val="center"/>
          </w:tcPr>
          <w:p>
            <w:pPr>
              <w:keepNext/>
              <w:jc w:val="center"/>
            </w:pPr>
            <w:r>
              <w:rPr>
                <w:rFonts w:ascii="Cambria" w:hAnsi="Cambria"/>
                <w:b w:val="false"/>
                <w:sz w:val="24"/>
              </w:rPr>
              <w:t>5 </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in Planul de Afaceri daca se alocă un procent între 1% şi 3% pentru crearea unei imagini/branding/sitepentru promovare (realizare marcă de serviciu/produs) din valoarea eligibilă a proiectului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1.2  </w:t>
            </w:r>
          </w:p>
        </w:tc>
        <w:tc>
          <w:tcPr>
            <w:shd w:val="clear" w:color="auto" w:fill="F8ECD2"/>
            <w:vAlign w:val="center"/>
          </w:tcPr>
          <w:p>
            <w:r>
              <w:rPr>
                <w:rFonts w:ascii="Cambria" w:hAnsi="Cambria"/>
                <w:b w:val="false"/>
                <w:color w:val="58400C"/>
                <w:sz w:val="24"/>
              </w:rPr>
              <w:t>Proiecte care alocă un procent de peste 3% pentru crearea unei imagini/branding/site pentru promovare (realizare marcă de serviciu/produs) din valoarea eligibilă a proiectului.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in Planul de Afaceri daca se aloca un procent de peste 3% pentru crearea unei imagini/branding/site pentru promovare (realizare marcă de serviciu/produs) din valoarea eligibilă a proiectului.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Principiul stimulării unui nivel ridicat de calitate al planului de afaceri, care va fi stabilit în funcție de producția comercializată sau activitățile prestate, în procent de peste 30% din valoarea primei tranșe de plată</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r>
              <w:rPr>
                <w:rFonts w:ascii="Cambria" w:hAnsi="Cambria"/>
                <w:b w:val="false"/>
                <w:color w:val="58400C"/>
                <w:sz w:val="24"/>
              </w:rPr>
              <w:t>Proiecte care prevăd în planul de afaceri producție comercializată sau activități prestate într-un  procent de peste 60% din valoarea primei tranșe de plată.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în baza informatiilor furnizate în Planul de Afaceri.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w:t>
            </w:r>
          </w:p>
        </w:tc>
        <w:tc>
          <w:tcPr>
            <w:shd w:val="clear" w:color="auto" w:fill="F8ECD2"/>
            <w:vAlign w:val="center"/>
          </w:tcPr>
          <w:p>
            <w:r>
              <w:rPr>
                <w:rFonts w:ascii="Cambria" w:hAnsi="Cambria"/>
                <w:b w:val="false"/>
                <w:color w:val="58400C"/>
                <w:sz w:val="24"/>
              </w:rPr>
              <w:t>Proiecte care prevăd în planul de afaceri producție comercializată sau activități prestate într-un procent de peste 50% din valoarea primei tranșe de plată.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în baza informatiilor furnizate în Planul de Afaceri.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Principiul prioritizării planurilor de afaceri care își propun crearea locurilor de muncă</w:t>
            </w:r>
          </w:p>
        </w:tc>
        <w:tc>
          <w:tcPr>
            <w:shd w:val="clear" w:color="auto" w:fill="CCE1DB"/>
            <w:vAlign w:val="center"/>
          </w:tcPr>
          <w:p>
            <w:pPr>
              <w:spacing w:line="360" w:lineRule="auto"/>
              <w:ind w:left="0" w:right="0" w:firstLine="493"/>
            </w:pPr>
            <w:r>
              <w:rPr>
                <w:rFonts w:ascii="Cambria Bold" w:hAnsi="Cambria Bold"/>
                <w:b/>
                <w:color w:val="014935"/>
                <w:sz w:val="24"/>
              </w:rPr>
              <w:t>40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r>
              <w:rPr>
                <w:rFonts w:ascii="Cambria" w:hAnsi="Cambria"/>
                <w:b w:val="false"/>
                <w:color w:val="58400C"/>
                <w:sz w:val="24"/>
              </w:rPr>
              <w:t>Proiecte care prevăd in planul de afaceri crearea a cel putin 3 locuri de munca </w:t>
            </w:r>
          </w:p>
        </w:tc>
        <w:tc>
          <w:tcPr>
            <w:vAlign w:val="center"/>
          </w:tcPr>
          <w:p>
            <w:pPr>
              <w:keepNext/>
              <w:jc w:val="center"/>
            </w:pPr>
            <w:r>
              <w:rPr>
                <w:rFonts w:ascii="Cambria" w:hAnsi="Cambria"/>
                <w:b w:val="false"/>
                <w:sz w:val="24"/>
              </w:rPr>
              <w:t>40</w:t>
            </w: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în baza indicatorilor din Cererea de Finantare si a Planului de Afaceri.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3.2</w:t>
            </w:r>
          </w:p>
        </w:tc>
        <w:tc>
          <w:tcPr>
            <w:shd w:val="clear" w:color="auto" w:fill="F8ECD2"/>
            <w:vAlign w:val="center"/>
          </w:tcPr>
          <w:p>
            <w:r>
              <w:rPr>
                <w:rFonts w:ascii="Cambria" w:hAnsi="Cambria"/>
                <w:b w:val="false"/>
                <w:color w:val="58400C"/>
                <w:sz w:val="24"/>
              </w:rPr>
              <w:t>Proiecte care prevăd in planul de afaceri crearea a 2 locuri de munca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în baza indicatorilor din Cererea de Finanatare și a Planului de Afaceri.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3.3.</w:t>
            </w:r>
          </w:p>
        </w:tc>
        <w:tc>
          <w:tcPr>
            <w:shd w:val="clear" w:color="auto" w:fill="F8ECD2"/>
            <w:vAlign w:val="center"/>
          </w:tcPr>
          <w:p>
            <w:r>
              <w:rPr>
                <w:rFonts w:ascii="Cambria" w:hAnsi="Cambria"/>
                <w:b w:val="false"/>
                <w:color w:val="58400C"/>
                <w:sz w:val="24"/>
              </w:rPr>
              <w:t>Proiecte care prevăd in planul de afaceri crearea unui loc de munca </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în baza indicatorilor din Cererea de Finanatare și a Planului de Afaceri.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Principiul stimularii activitatilor turistice</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4.1</w:t>
            </w:r>
          </w:p>
        </w:tc>
        <w:tc>
          <w:tcPr>
            <w:shd w:val="clear" w:color="auto" w:fill="F8ECD2"/>
            <w:vAlign w:val="center"/>
          </w:tcPr>
          <w:p>
            <w:r>
              <w:rPr>
                <w:rFonts w:ascii="Cambria" w:hAnsi="Cambria"/>
                <w:b w:val="false"/>
                <w:color w:val="58400C"/>
                <w:sz w:val="24"/>
              </w:rPr>
              <w:t>Proiecte care vizeaza investitii in activități turistice </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verifica daca  în Planul de Afaceri sunt prevazute investiții în activități turistice.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w:hAnsi="Cambria"/>
                <w:b w:val="false"/>
                <w:color w:val="58400C"/>
                <w:sz w:val="24"/>
              </w:rPr>
              <w:t>Procentul propus in PA pentruproducția comercializată/serviciiprestate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proiectelor cu acelasi punctaj departajarea se realizează în ordinea descrescătoare a procentului propus în Planul de Afaceri pentru producția comercializată/serviciile prestate, din prima tranșă de plată.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r>
              <w:rPr>
                <w:rFonts w:ascii="Cambria" w:hAnsi="Cambria"/>
                <w:b w:val="false"/>
                <w:color w:val="58400C"/>
                <w:sz w:val="24"/>
              </w:rPr>
              <w:t>Activitatea desfăsurată prin proiect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proiectelor cu acelasi procent propus departajarea se realizeazăîn funcție de activitatea desfășurată prin proiect. Se acordă prioritateproiectelor care prevad investitii in:1. servicii medicale/sanitar veterinare;2. productie;3. servicii.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3</w:t>
            </w:r>
          </w:p>
        </w:tc>
        <w:tc>
          <w:tcPr>
            <w:shd w:val="clear" w:color="auto" w:fill="F8ECD2"/>
            <w:vAlign w:val="center"/>
          </w:tcPr>
          <w:p>
            <w:r>
              <w:rPr>
                <w:rFonts w:ascii="Cambria" w:hAnsi="Cambria"/>
                <w:b w:val="false"/>
                <w:color w:val="58400C"/>
                <w:sz w:val="24"/>
              </w:rPr>
              <w:t>Locurile de munca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proiectelor cu acelasi procent propus si aceeasi activitatedepartajarea se realizeaza in functie de numarul de locuri de muncaprospus - persoane de sex feminin.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4</w:t>
            </w:r>
          </w:p>
        </w:tc>
        <w:tc>
          <w:tcPr>
            <w:shd w:val="clear" w:color="auto" w:fill="F8ECD2"/>
            <w:vAlign w:val="center"/>
          </w:tcPr>
          <w:p>
            <w:r>
              <w:rPr>
                <w:rFonts w:ascii="Cambria" w:hAnsi="Cambria"/>
                <w:b w:val="false"/>
                <w:color w:val="58400C"/>
                <w:sz w:val="24"/>
              </w:rPr>
              <w:t>Vârsta aplicantului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proiectelor cu acelasi procent propus, aceeasi activitate, numarul de locuri de munca prospus persoane de sex feminin, departajarea se va realiza in functie de vârsta reprezentantului legal/titularului.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5</w:t>
            </w:r>
          </w:p>
        </w:tc>
        <w:tc>
          <w:tcPr>
            <w:shd w:val="clear" w:color="auto" w:fill="F8ECD2"/>
            <w:vAlign w:val="center"/>
          </w:tcPr>
          <w:p>
            <w:r>
              <w:rPr>
                <w:rFonts w:ascii="Cambria" w:hAnsi="Cambria"/>
                <w:b w:val="false"/>
                <w:color w:val="58400C"/>
                <w:sz w:val="24"/>
              </w:rPr>
              <w:t>Perioada de implementare aPlanului de Afaceri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În cazul proiectelor cu acelasi procent propus, aceeasi activitate si acelasi numar de locuri de munca departajarea se realizeaza in functie de perioada de implementare a Planului de Afaceri (perioada cea mai mică)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a9e5f9469c104bb8" /></Relationships>
</file>